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A4F" w:rsidRDefault="00D97DD7">
      <w:pPr>
        <w:jc w:val="both"/>
        <w:rPr>
          <w:rFonts w:ascii="Arial" w:eastAsia="Arial" w:hAnsi="Arial" w:cs="Arial"/>
          <w:sz w:val="24"/>
          <w:szCs w:val="24"/>
        </w:rPr>
      </w:pPr>
      <w:bookmarkStart w:id="0" w:name="_heading=h.rf3ifnmcdoeb" w:colFirst="0" w:colLast="0"/>
      <w:bookmarkEnd w:id="0"/>
      <w:r>
        <w:rPr>
          <w:rFonts w:ascii="Arial" w:eastAsia="Arial" w:hAnsi="Arial" w:cs="Arial"/>
          <w:sz w:val="24"/>
          <w:szCs w:val="24"/>
        </w:rPr>
        <w:t xml:space="preserve">ATA da Nona Reunião da Comissão de Gestão Patrimonial (CGP) da Universidade Federal do Paraná realizada no dia exercício de 2019. No dia dezessete do mês de outubro de dois mil e dezenove, às 14h horas na Sala de Reunião da Divisão de Patrimônio, reuniu-se a Comissão de Patrimônio da Universidade Federal do Paraná. Presentes na sessão, a Diretora do Departamento de Logística – Denise Regina Zanatta Costa, a Coordenadora da Divisão de Patrimônio - Regina Célia de Lima; </w:t>
      </w:r>
      <w:r w:rsidR="007D2E1C">
        <w:rPr>
          <w:rFonts w:ascii="Arial" w:eastAsia="Arial" w:hAnsi="Arial" w:cs="Arial"/>
          <w:sz w:val="24"/>
          <w:szCs w:val="24"/>
        </w:rPr>
        <w:t xml:space="preserve">o Presidente da Subcomissão de Patrimônio, </w:t>
      </w:r>
      <w:proofErr w:type="gramStart"/>
      <w:r w:rsidR="007D2E1C">
        <w:rPr>
          <w:rFonts w:ascii="Arial" w:eastAsia="Arial" w:hAnsi="Arial" w:cs="Arial"/>
          <w:sz w:val="24"/>
          <w:szCs w:val="24"/>
        </w:rPr>
        <w:t>Prof.</w:t>
      </w:r>
      <w:proofErr w:type="gramEnd"/>
      <w:r w:rsidR="007D2E1C">
        <w:rPr>
          <w:rFonts w:ascii="Arial" w:eastAsia="Arial" w:hAnsi="Arial" w:cs="Arial"/>
          <w:sz w:val="24"/>
          <w:szCs w:val="24"/>
        </w:rPr>
        <w:t xml:space="preserve"> Dr</w:t>
      </w:r>
      <w:bookmarkStart w:id="1" w:name="_GoBack"/>
      <w:bookmarkEnd w:id="1"/>
      <w:r w:rsidR="007D2E1C">
        <w:rPr>
          <w:rFonts w:ascii="Arial" w:eastAsia="Arial" w:hAnsi="Arial" w:cs="Arial"/>
          <w:sz w:val="24"/>
          <w:szCs w:val="24"/>
        </w:rPr>
        <w:t xml:space="preserve">. Roberto Cervi; </w:t>
      </w:r>
      <w:r>
        <w:rPr>
          <w:rFonts w:ascii="Arial" w:eastAsia="Arial" w:hAnsi="Arial" w:cs="Arial"/>
          <w:sz w:val="24"/>
          <w:szCs w:val="24"/>
        </w:rPr>
        <w:t xml:space="preserve">os membros da Comissão: Luciano Lepka Portela, Carla Oliveira, Sarita </w:t>
      </w:r>
      <w:proofErr w:type="spellStart"/>
      <w:r>
        <w:rPr>
          <w:rFonts w:ascii="Arial" w:eastAsia="Arial" w:hAnsi="Arial" w:cs="Arial"/>
          <w:sz w:val="24"/>
          <w:szCs w:val="24"/>
        </w:rPr>
        <w:t>Pavin</w:t>
      </w:r>
      <w:proofErr w:type="spellEnd"/>
      <w:r>
        <w:rPr>
          <w:rFonts w:ascii="Arial" w:eastAsia="Arial" w:hAnsi="Arial" w:cs="Arial"/>
          <w:sz w:val="24"/>
          <w:szCs w:val="24"/>
        </w:rPr>
        <w:t xml:space="preserve"> e José Clóvis Pereira Borges; e os convidados do Complexo do Hospital de Clínicas (CHC), Vanessa Peres e André. Iniciando a sessão, a Senhora Regina Célia relatou o processo </w:t>
      </w:r>
      <w:r>
        <w:rPr>
          <w:rFonts w:ascii="Arial" w:eastAsia="Arial" w:hAnsi="Arial" w:cs="Arial"/>
          <w:b/>
          <w:sz w:val="24"/>
          <w:szCs w:val="24"/>
        </w:rPr>
        <w:t>23075.074882/2019-90</w:t>
      </w:r>
      <w:r>
        <w:rPr>
          <w:rFonts w:ascii="Arial" w:eastAsia="Arial" w:hAnsi="Arial" w:cs="Arial"/>
          <w:sz w:val="24"/>
          <w:szCs w:val="24"/>
        </w:rPr>
        <w:t xml:space="preserve"> referente ao Ofício 39/2019 da Superintendência do Hospital de Clínicas, em que solicita a prorrogação do inventário 2019, requerido pela Doutora Claudete </w:t>
      </w:r>
      <w:proofErr w:type="spellStart"/>
      <w:r>
        <w:rPr>
          <w:rFonts w:ascii="Arial" w:eastAsia="Arial" w:hAnsi="Arial" w:cs="Arial"/>
          <w:sz w:val="24"/>
          <w:szCs w:val="24"/>
        </w:rPr>
        <w:t>Reggiani</w:t>
      </w:r>
      <w:proofErr w:type="spellEnd"/>
      <w:r>
        <w:rPr>
          <w:rFonts w:ascii="Arial" w:eastAsia="Arial" w:hAnsi="Arial" w:cs="Arial"/>
          <w:sz w:val="24"/>
          <w:szCs w:val="24"/>
        </w:rPr>
        <w:t>. A</w:t>
      </w:r>
      <w:r>
        <w:rPr>
          <w:rFonts w:ascii="Arial" w:eastAsia="Arial" w:hAnsi="Arial" w:cs="Arial"/>
          <w:color w:val="FF0000"/>
          <w:sz w:val="24"/>
          <w:szCs w:val="24"/>
        </w:rPr>
        <w:t xml:space="preserve"> </w:t>
      </w:r>
      <w:r>
        <w:rPr>
          <w:rFonts w:ascii="Arial" w:eastAsia="Arial" w:hAnsi="Arial" w:cs="Arial"/>
          <w:sz w:val="24"/>
          <w:szCs w:val="24"/>
        </w:rPr>
        <w:t xml:space="preserve">Comissão de Gestão Patrimonial debateu as possibilidades para </w:t>
      </w:r>
      <w:r w:rsidR="00803C44">
        <w:rPr>
          <w:rFonts w:ascii="Arial" w:eastAsia="Arial" w:hAnsi="Arial" w:cs="Arial"/>
          <w:sz w:val="24"/>
          <w:szCs w:val="24"/>
        </w:rPr>
        <w:t>atender ao</w:t>
      </w:r>
      <w:r>
        <w:rPr>
          <w:rFonts w:ascii="Arial" w:eastAsia="Arial" w:hAnsi="Arial" w:cs="Arial"/>
          <w:sz w:val="24"/>
          <w:szCs w:val="24"/>
        </w:rPr>
        <w:t xml:space="preserve"> pedido, bem como ouviu as explanações sobre o caso com os convidados do CHC, a qual foi relatado o contratempo em relação </w:t>
      </w:r>
      <w:proofErr w:type="gramStart"/>
      <w:r>
        <w:rPr>
          <w:rFonts w:ascii="Arial" w:eastAsia="Arial" w:hAnsi="Arial" w:cs="Arial"/>
          <w:sz w:val="24"/>
          <w:szCs w:val="24"/>
        </w:rPr>
        <w:t>a</w:t>
      </w:r>
      <w:proofErr w:type="gramEnd"/>
      <w:r>
        <w:rPr>
          <w:rFonts w:ascii="Arial" w:eastAsia="Arial" w:hAnsi="Arial" w:cs="Arial"/>
          <w:sz w:val="24"/>
          <w:szCs w:val="24"/>
        </w:rPr>
        <w:t xml:space="preserve"> gestão dos bens no hospital em razão do complexo possuir três vínculos (EBSERH, FUNPAR e RJU) e observou o acréscimo do </w:t>
      </w:r>
      <w:r w:rsidR="00803C44">
        <w:rPr>
          <w:rFonts w:ascii="Arial" w:eastAsia="Arial" w:hAnsi="Arial" w:cs="Arial"/>
          <w:sz w:val="24"/>
          <w:szCs w:val="24"/>
        </w:rPr>
        <w:t xml:space="preserve">índice do </w:t>
      </w:r>
      <w:r>
        <w:rPr>
          <w:rFonts w:ascii="Arial" w:eastAsia="Arial" w:hAnsi="Arial" w:cs="Arial"/>
          <w:sz w:val="24"/>
          <w:szCs w:val="24"/>
        </w:rPr>
        <w:t xml:space="preserve">inventário do hospital em relação ao levantamento do inventário de 2018. Tendo essas situações expostas, a comissão deliberou as seguintes condições: a) </w:t>
      </w:r>
      <w:r w:rsidR="00803C44">
        <w:rPr>
          <w:rFonts w:ascii="Arial" w:eastAsia="Arial" w:hAnsi="Arial" w:cs="Arial"/>
          <w:sz w:val="24"/>
          <w:szCs w:val="24"/>
        </w:rPr>
        <w:t>n</w:t>
      </w:r>
      <w:r>
        <w:rPr>
          <w:rFonts w:ascii="Arial" w:eastAsia="Arial" w:hAnsi="Arial" w:cs="Arial"/>
          <w:sz w:val="24"/>
          <w:szCs w:val="24"/>
        </w:rPr>
        <w:t>ão há possibilidade d</w:t>
      </w:r>
      <w:r w:rsidR="00803C44">
        <w:rPr>
          <w:rFonts w:ascii="Arial" w:eastAsia="Arial" w:hAnsi="Arial" w:cs="Arial"/>
          <w:sz w:val="24"/>
          <w:szCs w:val="24"/>
        </w:rPr>
        <w:t>e se abrir o</w:t>
      </w:r>
      <w:r>
        <w:rPr>
          <w:rFonts w:ascii="Arial" w:eastAsia="Arial" w:hAnsi="Arial" w:cs="Arial"/>
          <w:sz w:val="24"/>
          <w:szCs w:val="24"/>
        </w:rPr>
        <w:t xml:space="preserve"> Sistema de Patrimônio - SAP para emissão de Termos de Inventário, </w:t>
      </w:r>
      <w:r w:rsidR="00803C44">
        <w:rPr>
          <w:rFonts w:ascii="Arial" w:eastAsia="Arial" w:hAnsi="Arial" w:cs="Arial"/>
          <w:sz w:val="24"/>
          <w:szCs w:val="24"/>
        </w:rPr>
        <w:t xml:space="preserve">visto que no SAP não há a previsão de </w:t>
      </w:r>
      <w:r>
        <w:rPr>
          <w:rFonts w:ascii="Arial" w:eastAsia="Arial" w:hAnsi="Arial" w:cs="Arial"/>
          <w:sz w:val="24"/>
          <w:szCs w:val="24"/>
        </w:rPr>
        <w:t>acesso individual por unidade para elaboração de nov</w:t>
      </w:r>
      <w:r w:rsidR="00803C44">
        <w:rPr>
          <w:rFonts w:ascii="Arial" w:eastAsia="Arial" w:hAnsi="Arial" w:cs="Arial"/>
          <w:sz w:val="24"/>
          <w:szCs w:val="24"/>
        </w:rPr>
        <w:t>o</w:t>
      </w:r>
      <w:r>
        <w:rPr>
          <w:rFonts w:ascii="Arial" w:eastAsia="Arial" w:hAnsi="Arial" w:cs="Arial"/>
          <w:sz w:val="24"/>
          <w:szCs w:val="24"/>
        </w:rPr>
        <w:t xml:space="preserve">s Termos de Inventário; b) </w:t>
      </w:r>
      <w:r w:rsidR="00803C44">
        <w:rPr>
          <w:rFonts w:ascii="Arial" w:eastAsia="Arial" w:hAnsi="Arial" w:cs="Arial"/>
          <w:sz w:val="24"/>
          <w:szCs w:val="24"/>
        </w:rPr>
        <w:t>a</w:t>
      </w:r>
      <w:r>
        <w:rPr>
          <w:rFonts w:ascii="Arial" w:eastAsia="Arial" w:hAnsi="Arial" w:cs="Arial"/>
          <w:sz w:val="24"/>
          <w:szCs w:val="24"/>
        </w:rPr>
        <w:t xml:space="preserve">guardar a definição do Conselho de Planejamento e Administração - COPLAD em relação </w:t>
      </w:r>
      <w:proofErr w:type="gramStart"/>
      <w:r>
        <w:rPr>
          <w:rFonts w:ascii="Arial" w:eastAsia="Arial" w:hAnsi="Arial" w:cs="Arial"/>
          <w:sz w:val="24"/>
          <w:szCs w:val="24"/>
        </w:rPr>
        <w:t>a</w:t>
      </w:r>
      <w:proofErr w:type="gramEnd"/>
      <w:r>
        <w:rPr>
          <w:rFonts w:ascii="Arial" w:eastAsia="Arial" w:hAnsi="Arial" w:cs="Arial"/>
          <w:sz w:val="24"/>
          <w:szCs w:val="24"/>
        </w:rPr>
        <w:t xml:space="preserve"> autorização para que os bens patrimoniais sejam</w:t>
      </w:r>
      <w:r w:rsidR="00803C44">
        <w:rPr>
          <w:rFonts w:ascii="Arial" w:eastAsia="Arial" w:hAnsi="Arial" w:cs="Arial"/>
          <w:sz w:val="24"/>
          <w:szCs w:val="24"/>
        </w:rPr>
        <w:t xml:space="preserve"> repassados à</w:t>
      </w:r>
      <w:r>
        <w:rPr>
          <w:rFonts w:ascii="Arial" w:eastAsia="Arial" w:hAnsi="Arial" w:cs="Arial"/>
          <w:sz w:val="24"/>
          <w:szCs w:val="24"/>
        </w:rPr>
        <w:t xml:space="preserve"> responsabilidade da Superintendência do </w:t>
      </w:r>
      <w:r w:rsidR="00803C44">
        <w:rPr>
          <w:rFonts w:ascii="Arial" w:eastAsia="Arial" w:hAnsi="Arial" w:cs="Arial"/>
          <w:sz w:val="24"/>
          <w:szCs w:val="24"/>
        </w:rPr>
        <w:t xml:space="preserve">Complexo </w:t>
      </w:r>
      <w:r>
        <w:rPr>
          <w:rFonts w:ascii="Arial" w:eastAsia="Arial" w:hAnsi="Arial" w:cs="Arial"/>
          <w:sz w:val="24"/>
          <w:szCs w:val="24"/>
        </w:rPr>
        <w:t xml:space="preserve">Hospital de Clínicas, caso aprovado pelo COPLAD, o CHC deverá </w:t>
      </w:r>
      <w:r w:rsidR="00803C44">
        <w:rPr>
          <w:rFonts w:ascii="Arial" w:eastAsia="Arial" w:hAnsi="Arial" w:cs="Arial"/>
          <w:sz w:val="24"/>
          <w:szCs w:val="24"/>
        </w:rPr>
        <w:t xml:space="preserve">encaminhar </w:t>
      </w:r>
      <w:r>
        <w:rPr>
          <w:rFonts w:ascii="Arial" w:eastAsia="Arial" w:hAnsi="Arial" w:cs="Arial"/>
          <w:sz w:val="24"/>
          <w:szCs w:val="24"/>
        </w:rPr>
        <w:t xml:space="preserve">os termos assinados à Divisão de Patrimônio no prazo máximo </w:t>
      </w:r>
      <w:r w:rsidR="00803C44">
        <w:rPr>
          <w:rFonts w:ascii="Arial" w:eastAsia="Arial" w:hAnsi="Arial" w:cs="Arial"/>
          <w:sz w:val="24"/>
          <w:szCs w:val="24"/>
        </w:rPr>
        <w:t xml:space="preserve">estabelecido </w:t>
      </w:r>
      <w:r>
        <w:rPr>
          <w:rFonts w:ascii="Arial" w:eastAsia="Arial" w:hAnsi="Arial" w:cs="Arial"/>
          <w:sz w:val="24"/>
          <w:szCs w:val="24"/>
        </w:rPr>
        <w:t>de 28/10/2019. O prazo</w:t>
      </w:r>
      <w:r w:rsidR="00803C44">
        <w:rPr>
          <w:rFonts w:ascii="Arial" w:eastAsia="Arial" w:hAnsi="Arial" w:cs="Arial"/>
          <w:sz w:val="24"/>
          <w:szCs w:val="24"/>
        </w:rPr>
        <w:t xml:space="preserve"> foi determinado levando-se em consideração </w:t>
      </w:r>
      <w:r>
        <w:rPr>
          <w:rFonts w:ascii="Arial" w:eastAsia="Arial" w:hAnsi="Arial" w:cs="Arial"/>
          <w:sz w:val="24"/>
          <w:szCs w:val="24"/>
        </w:rPr>
        <w:t xml:space="preserve">o tempo </w:t>
      </w:r>
      <w:r w:rsidR="00803C44">
        <w:rPr>
          <w:rFonts w:ascii="Arial" w:eastAsia="Arial" w:hAnsi="Arial" w:cs="Arial"/>
          <w:sz w:val="24"/>
          <w:szCs w:val="24"/>
        </w:rPr>
        <w:t>necessário</w:t>
      </w:r>
      <w:r>
        <w:rPr>
          <w:rFonts w:ascii="Arial" w:eastAsia="Arial" w:hAnsi="Arial" w:cs="Arial"/>
          <w:sz w:val="24"/>
          <w:szCs w:val="24"/>
        </w:rPr>
        <w:t xml:space="preserve"> para que a DPA realize a </w:t>
      </w:r>
      <w:r w:rsidR="00803C44">
        <w:rPr>
          <w:rFonts w:ascii="Arial" w:eastAsia="Arial" w:hAnsi="Arial" w:cs="Arial"/>
          <w:sz w:val="24"/>
          <w:szCs w:val="24"/>
        </w:rPr>
        <w:t>consolidação</w:t>
      </w:r>
      <w:r>
        <w:rPr>
          <w:rFonts w:ascii="Arial" w:eastAsia="Arial" w:hAnsi="Arial" w:cs="Arial"/>
          <w:sz w:val="24"/>
          <w:szCs w:val="24"/>
        </w:rPr>
        <w:t xml:space="preserve"> do relatório final de inventário 2019 de todas as unidades do acervo da Universidade Federal do Paraná; c) </w:t>
      </w:r>
      <w:r w:rsidR="00803C44">
        <w:rPr>
          <w:rFonts w:ascii="Arial" w:eastAsia="Arial" w:hAnsi="Arial" w:cs="Arial"/>
          <w:sz w:val="24"/>
          <w:szCs w:val="24"/>
        </w:rPr>
        <w:t xml:space="preserve">não havendo </w:t>
      </w:r>
      <w:r>
        <w:rPr>
          <w:rFonts w:ascii="Arial" w:eastAsia="Arial" w:hAnsi="Arial" w:cs="Arial"/>
          <w:sz w:val="24"/>
          <w:szCs w:val="24"/>
        </w:rPr>
        <w:t>a aprovação do COPLAD</w:t>
      </w:r>
      <w:r w:rsidR="00803C44">
        <w:rPr>
          <w:rFonts w:ascii="Arial" w:eastAsia="Arial" w:hAnsi="Arial" w:cs="Arial"/>
          <w:sz w:val="24"/>
          <w:szCs w:val="24"/>
        </w:rPr>
        <w:t>,</w:t>
      </w:r>
      <w:r>
        <w:rPr>
          <w:rFonts w:ascii="Arial" w:eastAsia="Arial" w:hAnsi="Arial" w:cs="Arial"/>
          <w:sz w:val="24"/>
          <w:szCs w:val="24"/>
        </w:rPr>
        <w:t xml:space="preserve"> o CHC deverá encaminhar Termos de Transferência, sem assinatura, com nota explicativa </w:t>
      </w:r>
      <w:r w:rsidR="00803C44">
        <w:rPr>
          <w:rFonts w:ascii="Arial" w:eastAsia="Arial" w:hAnsi="Arial" w:cs="Arial"/>
          <w:sz w:val="24"/>
          <w:szCs w:val="24"/>
        </w:rPr>
        <w:t>elencando os</w:t>
      </w:r>
      <w:r>
        <w:rPr>
          <w:rFonts w:ascii="Arial" w:eastAsia="Arial" w:hAnsi="Arial" w:cs="Arial"/>
          <w:sz w:val="24"/>
          <w:szCs w:val="24"/>
        </w:rPr>
        <w:t xml:space="preserve"> motivos </w:t>
      </w:r>
      <w:r w:rsidR="00803C44">
        <w:rPr>
          <w:rFonts w:ascii="Arial" w:eastAsia="Arial" w:hAnsi="Arial" w:cs="Arial"/>
          <w:sz w:val="24"/>
          <w:szCs w:val="24"/>
        </w:rPr>
        <w:t xml:space="preserve">da apresentação dos Termos sem </w:t>
      </w:r>
      <w:r w:rsidR="00C2602C">
        <w:rPr>
          <w:rFonts w:ascii="Arial" w:eastAsia="Arial" w:hAnsi="Arial" w:cs="Arial"/>
          <w:sz w:val="24"/>
          <w:szCs w:val="24"/>
        </w:rPr>
        <w:t>as respectivas assinaturas</w:t>
      </w:r>
      <w:r>
        <w:rPr>
          <w:rFonts w:ascii="Arial" w:eastAsia="Arial" w:hAnsi="Arial" w:cs="Arial"/>
          <w:sz w:val="24"/>
          <w:szCs w:val="24"/>
        </w:rPr>
        <w:t xml:space="preserve"> dos</w:t>
      </w:r>
      <w:r w:rsidR="00803C44">
        <w:rPr>
          <w:rFonts w:ascii="Arial" w:eastAsia="Arial" w:hAnsi="Arial" w:cs="Arial"/>
          <w:sz w:val="24"/>
          <w:szCs w:val="24"/>
        </w:rPr>
        <w:t xml:space="preserve"> responsáveis, que será </w:t>
      </w:r>
      <w:r>
        <w:rPr>
          <w:rFonts w:ascii="Arial" w:eastAsia="Arial" w:hAnsi="Arial" w:cs="Arial"/>
          <w:sz w:val="24"/>
          <w:szCs w:val="24"/>
        </w:rPr>
        <w:t xml:space="preserve">incluída no Relatório Final de Inventário 2019 do hospital; e d) </w:t>
      </w:r>
      <w:r w:rsidR="00C2602C">
        <w:rPr>
          <w:rFonts w:ascii="Arial" w:eastAsia="Arial" w:hAnsi="Arial" w:cs="Arial"/>
          <w:sz w:val="24"/>
          <w:szCs w:val="24"/>
        </w:rPr>
        <w:t>determinou-se a</w:t>
      </w:r>
      <w:r>
        <w:rPr>
          <w:rFonts w:ascii="Arial" w:eastAsia="Arial" w:hAnsi="Arial" w:cs="Arial"/>
          <w:sz w:val="24"/>
          <w:szCs w:val="24"/>
        </w:rPr>
        <w:t xml:space="preserve"> data de 01/11/2019</w:t>
      </w:r>
      <w:r w:rsidR="00C2602C">
        <w:rPr>
          <w:rFonts w:ascii="Arial" w:eastAsia="Arial" w:hAnsi="Arial" w:cs="Arial"/>
          <w:sz w:val="24"/>
          <w:szCs w:val="24"/>
        </w:rPr>
        <w:t xml:space="preserve"> para o envio do Relatório Final de Inventário do CHC</w:t>
      </w:r>
      <w:r>
        <w:rPr>
          <w:rFonts w:ascii="Arial" w:eastAsia="Arial" w:hAnsi="Arial" w:cs="Arial"/>
          <w:sz w:val="24"/>
          <w:szCs w:val="24"/>
        </w:rPr>
        <w:t xml:space="preserve">. Nada mais havendo a tratar, foi encerrada a sessão da qual eu, Henrique Vieira, Auxiliar de Pessoal, lavrei </w:t>
      </w:r>
      <w:proofErr w:type="gramStart"/>
      <w:r>
        <w:rPr>
          <w:rFonts w:ascii="Arial" w:eastAsia="Arial" w:hAnsi="Arial" w:cs="Arial"/>
          <w:sz w:val="24"/>
          <w:szCs w:val="24"/>
        </w:rPr>
        <w:t>a presente</w:t>
      </w:r>
      <w:proofErr w:type="gramEnd"/>
      <w:r>
        <w:rPr>
          <w:rFonts w:ascii="Arial" w:eastAsia="Arial" w:hAnsi="Arial" w:cs="Arial"/>
          <w:sz w:val="24"/>
          <w:szCs w:val="24"/>
        </w:rPr>
        <w:t xml:space="preserve"> ata que será assinada por todos.</w:t>
      </w:r>
      <w:r w:rsidR="00C2602C">
        <w:rPr>
          <w:rFonts w:ascii="Arial" w:eastAsia="Arial" w:hAnsi="Arial" w:cs="Arial"/>
          <w:sz w:val="24"/>
          <w:szCs w:val="24"/>
        </w:rPr>
        <w:t xml:space="preserve"> Curitiba, 17 de outubro de 2019.</w:t>
      </w:r>
    </w:p>
    <w:p w:rsidR="005E5A4F" w:rsidRDefault="005E5A4F">
      <w:pPr>
        <w:jc w:val="center"/>
        <w:rPr>
          <w:sz w:val="24"/>
          <w:szCs w:val="24"/>
        </w:rPr>
      </w:pPr>
    </w:p>
    <w:sectPr w:rsidR="005E5A4F">
      <w:headerReference w:type="first" r:id="rId8"/>
      <w:footerReference w:type="first" r:id="rId9"/>
      <w:pgSz w:w="11906" w:h="16838"/>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3D7" w:rsidRDefault="00EB63D7">
      <w:pPr>
        <w:spacing w:after="0" w:line="240" w:lineRule="auto"/>
      </w:pPr>
      <w:r>
        <w:separator/>
      </w:r>
    </w:p>
  </w:endnote>
  <w:endnote w:type="continuationSeparator" w:id="0">
    <w:p w:rsidR="00EB63D7" w:rsidRDefault="00EB6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A4F" w:rsidRDefault="005E5A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3D7" w:rsidRDefault="00EB63D7">
      <w:pPr>
        <w:spacing w:after="0" w:line="240" w:lineRule="auto"/>
      </w:pPr>
      <w:r>
        <w:separator/>
      </w:r>
    </w:p>
  </w:footnote>
  <w:footnote w:type="continuationSeparator" w:id="0">
    <w:p w:rsidR="00EB63D7" w:rsidRDefault="00EB63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A4F" w:rsidRDefault="00D97DD7">
    <w:r>
      <w:rPr>
        <w:noProof/>
      </w:rPr>
      <w:drawing>
        <wp:inline distT="114300" distB="114300" distL="114300" distR="114300">
          <wp:extent cx="1454598" cy="916838"/>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54598" cy="916838"/>
                  </a:xfrm>
                  <a:prstGeom prst="rect">
                    <a:avLst/>
                  </a:prstGeom>
                  <a:ln/>
                </pic:spPr>
              </pic:pic>
            </a:graphicData>
          </a:graphic>
        </wp:inline>
      </w:drawing>
    </w:r>
    <w:r>
      <w:rPr>
        <w:noProof/>
      </w:rPr>
      <mc:AlternateContent>
        <mc:Choice Requires="wpg">
          <w:drawing>
            <wp:anchor distT="0" distB="0" distL="0" distR="0" simplePos="0" relativeHeight="251658240" behindDoc="0" locked="0" layoutInCell="1" hidden="0" allowOverlap="1">
              <wp:simplePos x="0" y="0"/>
              <wp:positionH relativeFrom="column">
                <wp:posOffset>1498600</wp:posOffset>
              </wp:positionH>
              <wp:positionV relativeFrom="paragraph">
                <wp:posOffset>25400</wp:posOffset>
              </wp:positionV>
              <wp:extent cx="2782252" cy="857250"/>
              <wp:effectExtent l="0" t="0" r="0" b="0"/>
              <wp:wrapSquare wrapText="bothSides" distT="0" distB="0" distL="0" distR="0"/>
              <wp:docPr id="3" name="Retângulo 3"/>
              <wp:cNvGraphicFramePr/>
              <a:graphic xmlns:a="http://schemas.openxmlformats.org/drawingml/2006/main">
                <a:graphicData uri="http://schemas.microsoft.com/office/word/2010/wordprocessingShape">
                  <wps:wsp>
                    <wps:cNvSpPr/>
                    <wps:spPr>
                      <a:xfrm>
                        <a:off x="3761675" y="3363123"/>
                        <a:ext cx="3168650" cy="833755"/>
                      </a:xfrm>
                      <a:prstGeom prst="rect">
                        <a:avLst/>
                      </a:prstGeom>
                      <a:noFill/>
                      <a:ln>
                        <a:noFill/>
                      </a:ln>
                    </wps:spPr>
                    <wps:txbx>
                      <w:txbxContent>
                        <w:p w:rsidR="005E5A4F" w:rsidRDefault="00D97DD7">
                          <w:pPr>
                            <w:spacing w:after="0" w:line="240" w:lineRule="auto"/>
                            <w:textDirection w:val="btLr"/>
                          </w:pPr>
                          <w:r>
                            <w:rPr>
                              <w:rFonts w:ascii="Arial" w:eastAsia="Arial" w:hAnsi="Arial" w:cs="Arial"/>
                              <w:b/>
                              <w:color w:val="000000"/>
                              <w:sz w:val="19"/>
                            </w:rPr>
                            <w:t>MINISTÉRIO DA EDUCAÇÃO</w:t>
                          </w:r>
                        </w:p>
                        <w:p w:rsidR="005E5A4F" w:rsidRDefault="00D97DD7">
                          <w:pPr>
                            <w:spacing w:after="0" w:line="240" w:lineRule="auto"/>
                            <w:textDirection w:val="btLr"/>
                          </w:pPr>
                          <w:r>
                            <w:rPr>
                              <w:rFonts w:ascii="Arial" w:eastAsia="Arial" w:hAnsi="Arial" w:cs="Arial"/>
                              <w:b/>
                              <w:color w:val="000000"/>
                              <w:sz w:val="19"/>
                            </w:rPr>
                            <w:t>UNIVERSIDADE FEDERAL DO PARANÁ</w:t>
                          </w:r>
                        </w:p>
                        <w:p w:rsidR="005E5A4F" w:rsidRDefault="00D97DD7">
                          <w:pPr>
                            <w:spacing w:after="0" w:line="240" w:lineRule="auto"/>
                            <w:textDirection w:val="btLr"/>
                          </w:pPr>
                          <w:r>
                            <w:rPr>
                              <w:rFonts w:ascii="Arial" w:eastAsia="Arial" w:hAnsi="Arial" w:cs="Arial"/>
                              <w:b/>
                              <w:color w:val="000000"/>
                              <w:sz w:val="19"/>
                            </w:rPr>
                            <w:t>PRÓ-REITORIA DE ADMINISTRAÇÃO</w:t>
                          </w:r>
                        </w:p>
                        <w:p w:rsidR="005E5A4F" w:rsidRDefault="00D97DD7">
                          <w:pPr>
                            <w:spacing w:after="0" w:line="240" w:lineRule="auto"/>
                            <w:textDirection w:val="btLr"/>
                          </w:pPr>
                          <w:r>
                            <w:rPr>
                              <w:rFonts w:ascii="Arial" w:eastAsia="Arial" w:hAnsi="Arial" w:cs="Arial"/>
                              <w:b/>
                              <w:color w:val="000000"/>
                              <w:sz w:val="19"/>
                            </w:rPr>
                            <w:t>DIVISÃO DE PATRIMÔNIO</w:t>
                          </w:r>
                        </w:p>
                        <w:p w:rsidR="005E5A4F" w:rsidRDefault="005E5A4F">
                          <w:pPr>
                            <w:spacing w:after="0" w:line="240" w:lineRule="auto"/>
                            <w:textDirection w:val="btLr"/>
                          </w:pPr>
                        </w:p>
                      </w:txbxContent>
                    </wps:txbx>
                    <wps:bodyPr spcFirstLastPara="1" wrap="square" lIns="100950" tIns="55225" rIns="100950" bIns="5522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0" distR="0" hidden="0" layoutInCell="1" locked="0" relativeHeight="0" simplePos="0">
              <wp:simplePos x="0" y="0"/>
              <wp:positionH relativeFrom="column">
                <wp:posOffset>1498600</wp:posOffset>
              </wp:positionH>
              <wp:positionV relativeFrom="paragraph">
                <wp:posOffset>25400</wp:posOffset>
              </wp:positionV>
              <wp:extent cx="2782252" cy="857250"/>
              <wp:effectExtent b="0" l="0" r="0" t="0"/>
              <wp:wrapSquare wrapText="bothSides" distB="0" distT="0" distL="0" distR="0"/>
              <wp:docPr id="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782252" cy="85725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E5A4F"/>
    <w:rsid w:val="005E5A4F"/>
    <w:rsid w:val="007D2E1C"/>
    <w:rsid w:val="00803C44"/>
    <w:rsid w:val="00C2602C"/>
    <w:rsid w:val="00D97DD7"/>
    <w:rsid w:val="00EB63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0E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B215D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15D0"/>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0E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B215D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15D0"/>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xLg0cWX5cu0M6M8AnQClBvoxFQ==">AMUW2mXtxp2zLLjnqHAr+sL8Xt+GQ1Gi1oLTE+GAoo77wP1h/tHWvzI6wi7KptheW+T2u+QuB2WLHvtBFd65FVXwjzfD3dO+MB5ePQsah5l9IrrhH0fiQzh9aWnSFOhXApK2WCKDFmVdJqxnNQvJSsE8x00vuuvoVg==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2378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Henrique</dc:creator>
  <cp:lastModifiedBy>CCE</cp:lastModifiedBy>
  <cp:revision>3</cp:revision>
  <dcterms:created xsi:type="dcterms:W3CDTF">2019-11-19T15:01:00Z</dcterms:created>
  <dcterms:modified xsi:type="dcterms:W3CDTF">2019-11-19T15:04:00Z</dcterms:modified>
</cp:coreProperties>
</file>