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q7cvk1nb95d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rf3ifnmcdoeb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ATA da Sétima Reunião da Comissão de Gestão Patrimonial (CGP) da Universidade Federal do Paraná realizada no dia exercício de 2019. No dia vinte e seis do mês de setembro de dois mil e dezenove, às 14h horas na Sala de Reunião da Divisão de Patrimônio, reuniu-se a Comissão de Patrimônio da Universidade Federal do Paraná. Presentes na sessão, o Presidente da Comissão de Gestão Patrimonial - Roberto Cervi, a Diretora do Departamento de Logística – Denise Regina Zanatta Costa, a Coordenadora da Divisão de Patrimônio - Regina Célia de Lima; os membros da Comissão: Luciano Portela e Carla Oliveira; e os convidados Vanessa Peres, Sarita Pavin e José Clóvis. Iniciando a sessão, a Senhora Regina relatou sobre processos da Pró Reitoria de Pós Graduação e Pesquisa (PRPPG), sendo expostos o processo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23075.041218/2019-64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acerca de roubo de quatro monitores, entre dezembro de 2015 e janeiro de 2016; o processo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23075.029964/2019-80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 respeito de roubo de monitor de vídeo; o processo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23075.043584/2019-58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sobre cinco monitores entregues ao  Setor de Ciências da Terra (CT) vinculados com a PRPPG; o processo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23075.027543/2019-14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referente ao roubo de monitor de vídeo. A Comissão de Gestão Patrimonial observou os documentos contidos,  bem como o boletim de ocorrência em relação aos furtos e roubos, o parecer vigilância e os respectivos envolvidos, para orientar e auxiliar na decisão sobre o caso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Por se tratar de casos semelhantes contidos nos processos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23075.041218/2019-64, 23075.027543/2019-14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23075.029964/2019-80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comissão fundamentou, amparada pela Nota Técnica da Setorial MEC (de 01/04/2019 - Equação 713), a abertura de sindicância investigativa pela autoridade competente para apuração da responsabilidade, em conformidade com os itens 10.2.1 e 10.3 da IN/SEDASP nº 205/1998. Em relação ao processo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23075.043584/2019-58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comissão elaborou o levantamento do histórico e movimentação de cada tombo, o início do processo de aquisição dos bens, o encarregado por receber os bens, o histórico de movimentação do processo de aquisição, entre PRPPG e CT, para respaldar a orientação oportuna. Havendo essas ocorrências observadas, a comissão recomendou abertura do processo de sindicância investigativa para apuração de responsabilidade, baseando-se igualmente na Nota Técnica da Setorial do MEC. O tema subsequente e final, processo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23075.040804/2019-91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Almoxarifado Central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sobre os bens não localizados em nome do servidor Gerson Couto Pereira. Analisando as informações contidas nos autos, explorando a situação relatada, verificando o histórico de movimentação dos bens e concordando com o Plano de Ação de 2019 (que se ocupa com a regularização sobre bens não encontrados no acervo da UFPR), essa comissão indicou que seja elaborado a busca e localização dos itens; a substituição pelo bem igual/similar; ou o ressarcimento ao erário baseado no valor atual em site de usados. As decisões e recomendações pautadas acima foram debatidas e acordadas com todos os presentes. Nada mais havendo a explanar, foi transcorrida a reunião da qual eu, Henrique Vieira, Auxiliar de Pessoal, lavrei a presente ata que será assinada por todos.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Curitiba, 26 de setembro de 2019.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8" w:w="11906"/>
      <w:pgMar w:bottom="1417" w:top="1417" w:left="1701" w:right="1701" w:header="708.6614173228347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  <w:drawing>
        <wp:inline distB="114300" distT="114300" distL="114300" distR="114300">
          <wp:extent cx="1454598" cy="91683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4598" cy="916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1514475</wp:posOffset>
              </wp:positionH>
              <wp:positionV relativeFrom="paragraph">
                <wp:posOffset>38100</wp:posOffset>
              </wp:positionV>
              <wp:extent cx="2772727" cy="84772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1675" y="3363123"/>
                        <a:ext cx="3168650" cy="833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UNIVERSIDADE FEDERAL DO PARANÁ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PRÓ-REITORIA DE ADMINISTRAÇÃO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DIVISÃO DE PATRIMÔNIO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55225" lIns="100950" spcFirstLastPara="1" rIns="100950" wrap="square" tIns="552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1514475</wp:posOffset>
              </wp:positionH>
              <wp:positionV relativeFrom="paragraph">
                <wp:posOffset>38100</wp:posOffset>
              </wp:positionV>
              <wp:extent cx="2772727" cy="84772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2727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